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C8C7285" w14:textId="77777777" w:rsidR="00E23546" w:rsidRPr="0047045D" w:rsidRDefault="00E23546" w:rsidP="00E23546">
      <w:pPr>
        <w:spacing w:after="0" w:line="240" w:lineRule="auto"/>
        <w:ind w:firstLine="11907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bookmarkStart w:id="0" w:name="_Toc489016121"/>
      <w:r w:rsidRPr="0047045D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Załącznik nr 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5</w:t>
      </w:r>
    </w:p>
    <w:p w14:paraId="73121B73" w14:textId="3CDB5C97" w:rsidR="00E23546" w:rsidRPr="00852F97" w:rsidRDefault="00E23546" w:rsidP="00E23546">
      <w:pPr>
        <w:spacing w:after="0" w:line="240" w:lineRule="auto"/>
        <w:ind w:firstLine="11907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852F97">
        <w:rPr>
          <w:rFonts w:ascii="Times New Roman" w:eastAsia="Times New Roman" w:hAnsi="Times New Roman" w:cs="Times New Roman"/>
          <w:sz w:val="20"/>
          <w:szCs w:val="20"/>
          <w:lang w:eastAsia="pl-PL"/>
        </w:rPr>
        <w:t>do uchwały nr 1</w:t>
      </w:r>
      <w:r w:rsidR="005C151D">
        <w:rPr>
          <w:rFonts w:ascii="Times New Roman" w:eastAsia="Times New Roman" w:hAnsi="Times New Roman" w:cs="Times New Roman"/>
          <w:sz w:val="20"/>
          <w:szCs w:val="20"/>
          <w:lang w:eastAsia="pl-PL"/>
        </w:rPr>
        <w:t>45</w:t>
      </w:r>
      <w:r w:rsidRPr="00852F97">
        <w:rPr>
          <w:rFonts w:ascii="Times New Roman" w:eastAsia="Times New Roman" w:hAnsi="Times New Roman" w:cs="Times New Roman"/>
          <w:sz w:val="20"/>
          <w:szCs w:val="20"/>
          <w:lang w:eastAsia="pl-PL"/>
        </w:rPr>
        <w:t>/</w:t>
      </w:r>
      <w:r w:rsidR="005C151D">
        <w:rPr>
          <w:rFonts w:ascii="Times New Roman" w:eastAsia="Times New Roman" w:hAnsi="Times New Roman" w:cs="Times New Roman"/>
          <w:sz w:val="20"/>
          <w:szCs w:val="20"/>
          <w:lang w:eastAsia="pl-PL"/>
        </w:rPr>
        <w:t>10</w:t>
      </w:r>
      <w:r w:rsidRPr="00852F97">
        <w:rPr>
          <w:rFonts w:ascii="Times New Roman" w:eastAsia="Times New Roman" w:hAnsi="Times New Roman" w:cs="Times New Roman"/>
          <w:sz w:val="20"/>
          <w:szCs w:val="20"/>
          <w:lang w:eastAsia="pl-PL"/>
        </w:rPr>
        <w:t>/2022</w:t>
      </w:r>
    </w:p>
    <w:p w14:paraId="18B40164" w14:textId="77777777" w:rsidR="00E23546" w:rsidRPr="00852F97" w:rsidRDefault="00E23546" w:rsidP="00E23546">
      <w:pPr>
        <w:spacing w:after="0" w:line="240" w:lineRule="auto"/>
        <w:ind w:firstLine="11907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852F97">
        <w:rPr>
          <w:rFonts w:ascii="Times New Roman" w:eastAsia="Times New Roman" w:hAnsi="Times New Roman" w:cs="Times New Roman"/>
          <w:sz w:val="20"/>
          <w:szCs w:val="20"/>
          <w:lang w:eastAsia="pl-PL"/>
        </w:rPr>
        <w:t>Komisji Egzaminacyjnej</w:t>
      </w:r>
    </w:p>
    <w:p w14:paraId="4CA6217C" w14:textId="6A595C1A" w:rsidR="00E23546" w:rsidRDefault="00E23546" w:rsidP="00E23546">
      <w:pPr>
        <w:spacing w:after="0" w:line="240" w:lineRule="auto"/>
        <w:ind w:firstLine="11907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852F97">
        <w:rPr>
          <w:rFonts w:ascii="Times New Roman" w:eastAsia="Times New Roman" w:hAnsi="Times New Roman" w:cs="Times New Roman"/>
          <w:sz w:val="20"/>
          <w:szCs w:val="20"/>
          <w:lang w:eastAsia="pl-PL"/>
        </w:rPr>
        <w:t>z dnia 2</w:t>
      </w:r>
      <w:r w:rsidR="005C151D">
        <w:rPr>
          <w:rFonts w:ascii="Times New Roman" w:eastAsia="Times New Roman" w:hAnsi="Times New Roman" w:cs="Times New Roman"/>
          <w:sz w:val="20"/>
          <w:szCs w:val="20"/>
          <w:lang w:eastAsia="pl-PL"/>
        </w:rPr>
        <w:t>1 października</w:t>
      </w:r>
      <w:r w:rsidRPr="00852F97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2022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r.</w:t>
      </w:r>
    </w:p>
    <w:bookmarkEnd w:id="0"/>
    <w:p w14:paraId="1C5F68D1" w14:textId="77777777" w:rsidR="00E23546" w:rsidRPr="0047045D" w:rsidRDefault="00E23546" w:rsidP="00E23546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sz w:val="6"/>
          <w:szCs w:val="24"/>
          <w:lang w:eastAsia="pl-PL"/>
        </w:rPr>
      </w:pPr>
    </w:p>
    <w:p w14:paraId="1344DA71" w14:textId="77777777" w:rsidR="00E23546" w:rsidRPr="00BB476D" w:rsidRDefault="00E23546" w:rsidP="00E23546">
      <w:pPr>
        <w:spacing w:after="0" w:line="240" w:lineRule="auto"/>
        <w:ind w:firstLine="6663"/>
        <w:jc w:val="right"/>
        <w:rPr>
          <w:rFonts w:ascii="Times New Roman" w:eastAsia="Times New Roman" w:hAnsi="Times New Roman" w:cs="Times New Roman"/>
          <w:szCs w:val="24"/>
          <w:lang w:eastAsia="pl-PL"/>
        </w:rPr>
      </w:pPr>
    </w:p>
    <w:p w14:paraId="537CE396" w14:textId="77777777" w:rsidR="00E23546" w:rsidRPr="00302886" w:rsidRDefault="00E23546" w:rsidP="00E23546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30288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Matryca (do wniosku TYPU A) </w:t>
      </w:r>
    </w:p>
    <w:p w14:paraId="2E812306" w14:textId="77777777" w:rsidR="00302886" w:rsidRDefault="00E23546" w:rsidP="00E23546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szCs w:val="24"/>
          <w:lang w:eastAsia="pl-PL"/>
        </w:rPr>
      </w:pPr>
      <w:r w:rsidRPr="00F26BF6">
        <w:rPr>
          <w:rFonts w:ascii="Times New Roman" w:eastAsia="Times New Roman" w:hAnsi="Times New Roman" w:cs="Times New Roman"/>
          <w:szCs w:val="24"/>
          <w:lang w:eastAsia="pl-PL"/>
        </w:rPr>
        <w:t xml:space="preserve">adekwatności zrealizowanego programu przez kandydata z zakresem wiedzy wymaganym przez Komisję Egzaminacyjną </w:t>
      </w:r>
    </w:p>
    <w:p w14:paraId="7933D6B8" w14:textId="2B297A64" w:rsidR="00E23546" w:rsidRPr="00F26BF6" w:rsidRDefault="00E23546" w:rsidP="00E23546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szCs w:val="24"/>
          <w:lang w:eastAsia="pl-PL"/>
        </w:rPr>
      </w:pPr>
      <w:r w:rsidRPr="00F26BF6">
        <w:rPr>
          <w:rFonts w:ascii="Times New Roman" w:eastAsia="Times New Roman" w:hAnsi="Times New Roman" w:cs="Times New Roman"/>
          <w:szCs w:val="24"/>
          <w:lang w:eastAsia="pl-PL"/>
        </w:rPr>
        <w:t>w postępowaniu kwalifikacyjnym</w:t>
      </w:r>
      <w:r w:rsidRPr="00F26BF6">
        <w:rPr>
          <w:rFonts w:ascii="Times New Roman" w:eastAsia="Times New Roman" w:hAnsi="Times New Roman" w:cs="Times New Roman"/>
          <w:szCs w:val="24"/>
        </w:rPr>
        <w:t xml:space="preserve"> </w:t>
      </w:r>
    </w:p>
    <w:p w14:paraId="714926AA" w14:textId="117D1821" w:rsidR="00302886" w:rsidRPr="00302886" w:rsidRDefault="00E23546" w:rsidP="00E23546">
      <w:pPr>
        <w:spacing w:after="0" w:line="240" w:lineRule="auto"/>
        <w:ind w:left="-357"/>
        <w:jc w:val="center"/>
        <w:outlineLvl w:val="0"/>
        <w:rPr>
          <w:rFonts w:ascii="Times New Roman" w:hAnsi="Times New Roman" w:cs="Times New Roman"/>
          <w:bCs/>
          <w:i/>
          <w:szCs w:val="24"/>
        </w:rPr>
      </w:pPr>
      <w:r w:rsidRPr="00302886">
        <w:rPr>
          <w:rFonts w:ascii="Times New Roman" w:eastAsia="Times New Roman" w:hAnsi="Times New Roman" w:cs="Times New Roman"/>
          <w:i/>
          <w:szCs w:val="24"/>
          <w:lang w:eastAsia="pl-PL"/>
        </w:rPr>
        <w:t>(na podstawie: Uchwały Nr 1273/30/2017 Krajowej Rady Biegłych Rewidentów z dnia 5 września 2017 r. w sprawie szczegółowego zakresu tematycznego egzaminów w</w:t>
      </w:r>
      <w:r w:rsidR="00302886">
        <w:rPr>
          <w:rFonts w:ascii="Times New Roman" w:eastAsia="Times New Roman" w:hAnsi="Times New Roman" w:cs="Times New Roman"/>
          <w:i/>
          <w:szCs w:val="24"/>
          <w:lang w:eastAsia="pl-PL"/>
        </w:rPr>
        <w:t> </w:t>
      </w:r>
      <w:r w:rsidRPr="00302886">
        <w:rPr>
          <w:rFonts w:ascii="Times New Roman" w:eastAsia="Times New Roman" w:hAnsi="Times New Roman" w:cs="Times New Roman"/>
          <w:i/>
          <w:szCs w:val="24"/>
          <w:lang w:eastAsia="pl-PL"/>
        </w:rPr>
        <w:t>postępowaniu kwalifikacyjnym na biegłych rewidentów</w:t>
      </w:r>
      <w:r w:rsidR="00473D76" w:rsidRPr="00302886">
        <w:rPr>
          <w:rFonts w:ascii="Times New Roman" w:eastAsia="Times New Roman" w:hAnsi="Times New Roman" w:cs="Times New Roman"/>
          <w:i/>
          <w:szCs w:val="24"/>
          <w:lang w:eastAsia="pl-PL"/>
        </w:rPr>
        <w:t xml:space="preserve"> </w:t>
      </w:r>
      <w:r w:rsidR="00473D76" w:rsidRPr="00302886">
        <w:rPr>
          <w:rFonts w:ascii="Times New Roman" w:hAnsi="Times New Roman" w:cs="Times New Roman"/>
          <w:bCs/>
          <w:i/>
          <w:szCs w:val="24"/>
        </w:rPr>
        <w:t>zmienion</w:t>
      </w:r>
      <w:r w:rsidR="00F26BF6" w:rsidRPr="00302886">
        <w:rPr>
          <w:rFonts w:ascii="Times New Roman" w:hAnsi="Times New Roman" w:cs="Times New Roman"/>
          <w:bCs/>
          <w:i/>
          <w:szCs w:val="24"/>
        </w:rPr>
        <w:t>ej</w:t>
      </w:r>
      <w:r w:rsidR="00473D76" w:rsidRPr="00302886">
        <w:rPr>
          <w:rFonts w:ascii="Times New Roman" w:hAnsi="Times New Roman" w:cs="Times New Roman"/>
          <w:bCs/>
          <w:i/>
          <w:szCs w:val="24"/>
        </w:rPr>
        <w:t xml:space="preserve"> uchwałą Nr 2336/42/2022 Krajowej Rady Biegłych Rewidentów z dnia  30 sierpnia 2022 r. </w:t>
      </w:r>
    </w:p>
    <w:p w14:paraId="54C139E4" w14:textId="1E5D4DE2" w:rsidR="00E23546" w:rsidRPr="00F26BF6" w:rsidRDefault="00473D76" w:rsidP="00E23546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szCs w:val="24"/>
          <w:lang w:eastAsia="pl-PL"/>
        </w:rPr>
      </w:pPr>
      <w:r w:rsidRPr="00F26BF6">
        <w:rPr>
          <w:rFonts w:ascii="Times New Roman" w:hAnsi="Times New Roman" w:cs="Times New Roman"/>
          <w:bCs/>
          <w:szCs w:val="24"/>
        </w:rPr>
        <w:t>w przedmiocie zmiany uchwały w sprawie szczegółowego zakresu tematycznego egzaminów w postępowaniu kwalifikacyjnym na biegłych rewidentów</w:t>
      </w:r>
      <w:r w:rsidR="00E23546" w:rsidRPr="00F26BF6">
        <w:rPr>
          <w:rFonts w:ascii="Times New Roman" w:eastAsia="Times New Roman" w:hAnsi="Times New Roman" w:cs="Times New Roman"/>
          <w:szCs w:val="24"/>
          <w:lang w:eastAsia="pl-PL"/>
        </w:rPr>
        <w:t xml:space="preserve">)  </w:t>
      </w:r>
    </w:p>
    <w:p w14:paraId="13D6D325" w14:textId="77777777" w:rsidR="00E23546" w:rsidRPr="00473D76" w:rsidRDefault="00E23546" w:rsidP="00E23546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</w:p>
    <w:p w14:paraId="336EFAD3" w14:textId="77777777" w:rsidR="009A28E3" w:rsidRPr="00302886" w:rsidRDefault="009A28E3" w:rsidP="009A28E3">
      <w:pPr>
        <w:spacing w:after="0" w:line="240" w:lineRule="auto"/>
        <w:ind w:left="3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  <w:bookmarkStart w:id="1" w:name="_Toc101960240"/>
      <w:r w:rsidRPr="00302886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Sprawozdania finansowe i ich analiza</w:t>
      </w:r>
      <w:bookmarkStart w:id="2" w:name="_GoBack"/>
      <w:bookmarkEnd w:id="1"/>
      <w:bookmarkEnd w:id="2"/>
    </w:p>
    <w:p w14:paraId="439935F6" w14:textId="77777777" w:rsidR="00E23546" w:rsidRDefault="009A28E3" w:rsidP="009A28E3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i/>
          <w:sz w:val="16"/>
          <w:szCs w:val="24"/>
          <w:lang w:eastAsia="pl-PL"/>
        </w:rPr>
      </w:pPr>
      <w:r w:rsidRPr="009A28E3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 </w:t>
      </w:r>
      <w:r w:rsidR="00E23546" w:rsidRPr="00BB476D">
        <w:rPr>
          <w:rFonts w:ascii="Times New Roman" w:eastAsia="Times New Roman" w:hAnsi="Times New Roman" w:cs="Times New Roman"/>
          <w:i/>
          <w:sz w:val="16"/>
          <w:szCs w:val="24"/>
          <w:lang w:eastAsia="pl-PL"/>
        </w:rPr>
        <w:t>(nazwa egzaminu.)</w:t>
      </w:r>
    </w:p>
    <w:p w14:paraId="7230CD1F" w14:textId="77777777" w:rsidR="00302886" w:rsidRPr="00BB476D" w:rsidRDefault="00302886" w:rsidP="009A28E3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i/>
          <w:sz w:val="16"/>
          <w:szCs w:val="24"/>
          <w:lang w:eastAsia="pl-PL"/>
        </w:rPr>
      </w:pPr>
    </w:p>
    <w:tbl>
      <w:tblPr>
        <w:tblStyle w:val="Tabela-Siatka118"/>
        <w:tblW w:w="15593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4486"/>
        <w:gridCol w:w="3736"/>
        <w:gridCol w:w="3686"/>
        <w:gridCol w:w="3685"/>
      </w:tblGrid>
      <w:tr w:rsidR="00E23546" w:rsidRPr="00BB476D" w14:paraId="272AD74A" w14:textId="77777777" w:rsidTr="005929A5">
        <w:trPr>
          <w:trHeight w:val="420"/>
          <w:tblHeader/>
        </w:trPr>
        <w:tc>
          <w:tcPr>
            <w:tcW w:w="4486" w:type="dxa"/>
            <w:vMerge w:val="restart"/>
            <w:shd w:val="clear" w:color="auto" w:fill="D4A7B0"/>
            <w:vAlign w:val="center"/>
          </w:tcPr>
          <w:p w14:paraId="67B7F8E1" w14:textId="77777777" w:rsidR="00E23546" w:rsidRPr="00BB476D" w:rsidRDefault="00E23546" w:rsidP="005929A5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BB476D">
              <w:rPr>
                <w:rFonts w:ascii="Times New Roman" w:eastAsia="Calibri" w:hAnsi="Times New Roman" w:cs="Times New Roman"/>
                <w:sz w:val="18"/>
                <w:szCs w:val="18"/>
              </w:rPr>
              <w:t>Zakres wymaganej wiedzy</w:t>
            </w:r>
          </w:p>
        </w:tc>
        <w:tc>
          <w:tcPr>
            <w:tcW w:w="11107" w:type="dxa"/>
            <w:gridSpan w:val="3"/>
            <w:shd w:val="clear" w:color="auto" w:fill="D4A7B0"/>
          </w:tcPr>
          <w:p w14:paraId="17D3B9C4" w14:textId="77777777" w:rsidR="00E23546" w:rsidRPr="00BB476D" w:rsidRDefault="00E23546" w:rsidP="005929A5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BB476D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Tematy znajdujące odzwierciedlenie w programach przedmiotu uczelnianego</w:t>
            </w:r>
          </w:p>
          <w:p w14:paraId="308A4881" w14:textId="77777777" w:rsidR="00E23546" w:rsidRPr="00BB476D" w:rsidRDefault="00E23546" w:rsidP="005929A5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BB476D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 xml:space="preserve">Treść  w  odniesieniu do właściwego punktu zakresu wymaganej wiedzy </w:t>
            </w:r>
          </w:p>
          <w:p w14:paraId="440C4E76" w14:textId="77777777" w:rsidR="00E23546" w:rsidRPr="00BB476D" w:rsidRDefault="00E23546" w:rsidP="005929A5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E23546" w:rsidRPr="00BB476D" w14:paraId="0924DA90" w14:textId="77777777" w:rsidTr="005929A5">
        <w:trPr>
          <w:trHeight w:val="668"/>
          <w:tblHeader/>
        </w:trPr>
        <w:tc>
          <w:tcPr>
            <w:tcW w:w="4486" w:type="dxa"/>
            <w:vMerge/>
            <w:shd w:val="clear" w:color="auto" w:fill="D4A7B0"/>
            <w:vAlign w:val="center"/>
          </w:tcPr>
          <w:p w14:paraId="3192043B" w14:textId="77777777" w:rsidR="00E23546" w:rsidRPr="00BB476D" w:rsidRDefault="00E23546" w:rsidP="005929A5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3736" w:type="dxa"/>
            <w:shd w:val="clear" w:color="auto" w:fill="D4A7B0"/>
          </w:tcPr>
          <w:p w14:paraId="49B916D0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5CACF90F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476D">
              <w:rPr>
                <w:rFonts w:ascii="Times New Roman" w:eastAsia="Calibri" w:hAnsi="Times New Roman" w:cs="Times New Roman"/>
                <w:sz w:val="20"/>
                <w:szCs w:val="20"/>
              </w:rPr>
              <w:t>……………………………….</w:t>
            </w:r>
          </w:p>
          <w:p w14:paraId="72DBA9EF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BB476D">
              <w:rPr>
                <w:rFonts w:ascii="Times New Roman" w:eastAsia="Calibri" w:hAnsi="Times New Roman" w:cs="Times New Roman"/>
                <w:sz w:val="18"/>
                <w:szCs w:val="18"/>
              </w:rPr>
              <w:t>Nazwa przedmiotu uczelnianego</w:t>
            </w:r>
          </w:p>
          <w:p w14:paraId="70132ED5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476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Treść sylabusa/karty </w:t>
            </w:r>
          </w:p>
          <w:p w14:paraId="2AF888B5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20"/>
                <w:szCs w:val="16"/>
              </w:rPr>
            </w:pPr>
            <w:r w:rsidRPr="00BB476D">
              <w:rPr>
                <w:rFonts w:ascii="Times New Roman" w:eastAsia="Calibri" w:hAnsi="Times New Roman" w:cs="Times New Roman"/>
                <w:sz w:val="20"/>
                <w:szCs w:val="20"/>
              </w:rPr>
              <w:t>adekwatnie do zakresu wymaganej wiedzy ujętej w kolumnie 1</w:t>
            </w:r>
            <w:r>
              <w:rPr>
                <w:rStyle w:val="Odwoanieprzypisudolnego"/>
                <w:rFonts w:ascii="Times New Roman" w:eastAsia="Calibri" w:hAnsi="Times New Roman" w:cs="Times New Roman"/>
                <w:sz w:val="20"/>
                <w:szCs w:val="20"/>
              </w:rPr>
              <w:footnoteReference w:id="1"/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,</w:t>
            </w:r>
            <w:r w:rsidRPr="00BB476D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</w:rPr>
              <w:footnoteReference w:id="2"/>
            </w:r>
          </w:p>
          <w:p w14:paraId="1BA14DD0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18"/>
              </w:rPr>
            </w:pPr>
          </w:p>
        </w:tc>
        <w:tc>
          <w:tcPr>
            <w:tcW w:w="3686" w:type="dxa"/>
            <w:shd w:val="clear" w:color="auto" w:fill="D4A7B0"/>
          </w:tcPr>
          <w:p w14:paraId="1632F809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3C623215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476D">
              <w:rPr>
                <w:rFonts w:ascii="Times New Roman" w:eastAsia="Calibri" w:hAnsi="Times New Roman" w:cs="Times New Roman"/>
                <w:sz w:val="20"/>
                <w:szCs w:val="20"/>
              </w:rPr>
              <w:t>……………………………….</w:t>
            </w:r>
          </w:p>
          <w:p w14:paraId="1E282E0A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BB476D">
              <w:rPr>
                <w:rFonts w:ascii="Times New Roman" w:eastAsia="Calibri" w:hAnsi="Times New Roman" w:cs="Times New Roman"/>
                <w:sz w:val="18"/>
                <w:szCs w:val="18"/>
              </w:rPr>
              <w:t>Nazwa 2 przedmiotu uczelnianego</w:t>
            </w:r>
          </w:p>
          <w:p w14:paraId="067B0A61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476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Treść sylabusa/karty </w:t>
            </w:r>
          </w:p>
          <w:p w14:paraId="3949EF6C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18"/>
              </w:rPr>
            </w:pPr>
            <w:r w:rsidRPr="00BB476D">
              <w:rPr>
                <w:rFonts w:ascii="Times New Roman" w:eastAsia="Calibri" w:hAnsi="Times New Roman" w:cs="Times New Roman"/>
                <w:sz w:val="20"/>
                <w:szCs w:val="20"/>
              </w:rPr>
              <w:t>adekwatnie do zakresu wymaganej wiedzy ujętej w kolumnie 1</w:t>
            </w:r>
          </w:p>
        </w:tc>
        <w:tc>
          <w:tcPr>
            <w:tcW w:w="3685" w:type="dxa"/>
            <w:shd w:val="clear" w:color="auto" w:fill="D4A7B0"/>
          </w:tcPr>
          <w:p w14:paraId="6472E750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2720C32D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476D">
              <w:rPr>
                <w:rFonts w:ascii="Times New Roman" w:eastAsia="Calibri" w:hAnsi="Times New Roman" w:cs="Times New Roman"/>
                <w:sz w:val="20"/>
                <w:szCs w:val="20"/>
              </w:rPr>
              <w:t>……………………………….</w:t>
            </w:r>
          </w:p>
          <w:p w14:paraId="2EEC6A65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BB476D">
              <w:rPr>
                <w:rFonts w:ascii="Times New Roman" w:eastAsia="Calibri" w:hAnsi="Times New Roman" w:cs="Times New Roman"/>
                <w:sz w:val="18"/>
                <w:szCs w:val="18"/>
              </w:rPr>
              <w:t>Nazwa 3 przedmiotu uczelnianego</w:t>
            </w:r>
          </w:p>
          <w:p w14:paraId="3EBA5E63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476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Treść sylabusa/karty </w:t>
            </w:r>
          </w:p>
          <w:p w14:paraId="0EC3D090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18"/>
              </w:rPr>
            </w:pPr>
            <w:r w:rsidRPr="00BB476D">
              <w:rPr>
                <w:rFonts w:ascii="Times New Roman" w:eastAsia="Calibri" w:hAnsi="Times New Roman" w:cs="Times New Roman"/>
                <w:sz w:val="20"/>
                <w:szCs w:val="20"/>
              </w:rPr>
              <w:t>adekwatnie do zakresu wymaganej wiedzy ujętej w kolumnie 1</w:t>
            </w:r>
          </w:p>
        </w:tc>
      </w:tr>
      <w:tr w:rsidR="00E23546" w:rsidRPr="00BB476D" w14:paraId="4F03BE8D" w14:textId="77777777" w:rsidTr="005929A5">
        <w:trPr>
          <w:trHeight w:val="280"/>
          <w:tblHeader/>
        </w:trPr>
        <w:tc>
          <w:tcPr>
            <w:tcW w:w="4486" w:type="dxa"/>
            <w:shd w:val="clear" w:color="auto" w:fill="D4A7B0"/>
            <w:vAlign w:val="center"/>
          </w:tcPr>
          <w:p w14:paraId="65E18D45" w14:textId="77777777" w:rsidR="00E23546" w:rsidRPr="00BB476D" w:rsidRDefault="00E23546" w:rsidP="005929A5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BB476D">
              <w:rPr>
                <w:rFonts w:ascii="Times New Roman" w:eastAsia="Calibri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3736" w:type="dxa"/>
            <w:shd w:val="clear" w:color="auto" w:fill="D4A7B0"/>
          </w:tcPr>
          <w:p w14:paraId="18F56A6F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BB476D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2</w:t>
            </w:r>
          </w:p>
        </w:tc>
        <w:tc>
          <w:tcPr>
            <w:tcW w:w="3686" w:type="dxa"/>
            <w:shd w:val="clear" w:color="auto" w:fill="D4A7B0"/>
          </w:tcPr>
          <w:p w14:paraId="1A00DA0D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BB476D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3</w:t>
            </w:r>
          </w:p>
        </w:tc>
        <w:tc>
          <w:tcPr>
            <w:tcW w:w="3685" w:type="dxa"/>
            <w:shd w:val="clear" w:color="auto" w:fill="D4A7B0"/>
          </w:tcPr>
          <w:p w14:paraId="2DB9E144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BB476D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4</w:t>
            </w:r>
          </w:p>
        </w:tc>
      </w:tr>
      <w:tr w:rsidR="00D95979" w:rsidRPr="00BB476D" w14:paraId="082F2929" w14:textId="77777777" w:rsidTr="00EC1EA9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2400"/>
        </w:trPr>
        <w:tc>
          <w:tcPr>
            <w:tcW w:w="4486" w:type="dxa"/>
            <w:vAlign w:val="center"/>
          </w:tcPr>
          <w:p w14:paraId="680D8783" w14:textId="77777777" w:rsidR="00D95979" w:rsidRDefault="00D95979" w:rsidP="00D9597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9.1. Ogólne zasady sporządzania sprawozdań</w:t>
            </w:r>
          </w:p>
          <w:p w14:paraId="6A148DC5" w14:textId="77777777" w:rsidR="00D95979" w:rsidRDefault="00D95979" w:rsidP="00D959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9.1.1. Funkcje sprawozdań finansowych.</w:t>
            </w:r>
          </w:p>
          <w:p w14:paraId="318FAEF6" w14:textId="77777777" w:rsidR="00D95979" w:rsidRDefault="00D95979" w:rsidP="00D959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9.1.2. Normy (zasady) sprawozdawczości finansowej wg ustawy o rachunkowości i MSR.</w:t>
            </w:r>
          </w:p>
          <w:p w14:paraId="7037D886" w14:textId="77777777" w:rsidR="00D95979" w:rsidRDefault="00D95979" w:rsidP="00D959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9.1.3. Proces sporządzania sprawozdań finansowych.</w:t>
            </w:r>
          </w:p>
          <w:p w14:paraId="297A7F9F" w14:textId="77777777" w:rsidR="00D95979" w:rsidRDefault="00D95979" w:rsidP="00D959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9.1.4 Terminy i tryb sporządzania i zatwierdzania rocznych sprawozdań finansowych (jednostkowych, łącznych, skonsolidowanych).</w:t>
            </w:r>
          </w:p>
          <w:p w14:paraId="5B7EC2D0" w14:textId="77777777" w:rsidR="00D95979" w:rsidRDefault="00D95979" w:rsidP="00D959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9.1.5. Odpowiedzialność w zakresie sprawozdawczości finansowej.</w:t>
            </w:r>
          </w:p>
          <w:p w14:paraId="29048D6A" w14:textId="77777777" w:rsidR="00D95979" w:rsidRDefault="00D95979" w:rsidP="00D959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EB1EBE8" w14:textId="77777777" w:rsidR="00D95979" w:rsidRDefault="00D95979" w:rsidP="00D9597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lastRenderedPageBreak/>
              <w:t>9.2. Roczne i śródroczne jednostkowe sprawozdanie finansowe banków, zakładów ubezpieczeń i innych instytucji finansowych oraz pozostałych jednostek</w:t>
            </w:r>
          </w:p>
          <w:p w14:paraId="7AB3F94C" w14:textId="77777777" w:rsidR="00D95979" w:rsidRDefault="00D95979" w:rsidP="00D959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9.2.1. Części składowe sprawozdań finansowych.</w:t>
            </w:r>
          </w:p>
          <w:p w14:paraId="656FC687" w14:textId="77777777" w:rsidR="00D95979" w:rsidRDefault="00D95979" w:rsidP="00D959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9.2.2. Ciągłość bilansowa, układ bilansu/sprawozdania z sytuacji finansowej i treść ekonomiczna poszczególnych jego części.</w:t>
            </w:r>
          </w:p>
          <w:p w14:paraId="0C2014DE" w14:textId="77777777" w:rsidR="00D95979" w:rsidRDefault="00D95979" w:rsidP="00D959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9.2.3. Okresy objęte rachunkiem zysków i strat/sprawozdaniem z całkowitych dochodów, jego układ i treść ekonomiczna poszczególnych części i pozycji.</w:t>
            </w:r>
          </w:p>
          <w:p w14:paraId="45CD4ABC" w14:textId="77777777" w:rsidR="00D95979" w:rsidRDefault="00D95979" w:rsidP="00D959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9.2.4. Informacje dodatkowe obejmujące wprowadzenie do sprawozdania finansowego oraz dodatkowe informacje i objaśnienia. </w:t>
            </w:r>
          </w:p>
          <w:p w14:paraId="6FB8F013" w14:textId="77777777" w:rsidR="00D95979" w:rsidRDefault="00D95979" w:rsidP="00D959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9.2.5. Rachunek przepływów pieniężnych- jednostki zobowiązane do jego sporządzania, rodzaje przepływów, treść ekonomiczna poszczególnych wielkości i pozycji.</w:t>
            </w:r>
          </w:p>
          <w:p w14:paraId="24DF0AAE" w14:textId="77777777" w:rsidR="00D95979" w:rsidRDefault="00D95979" w:rsidP="00D959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9.2.6. Zestawienie zmian w kapitale (funduszu) własnym-treść zestawienia, jednostki zobowiązane do jego sporządzenia, treści ekonomiczne poszczególnych pozycji zestawienia.</w:t>
            </w:r>
          </w:p>
          <w:p w14:paraId="1BA97FC4" w14:textId="77777777" w:rsidR="00D95979" w:rsidRDefault="00D95979" w:rsidP="00D959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9.2.7. Sprawozdanie z działalności jednostki, w tym emitentów papierów wartościowych dopuszczonych do publicznego obrotu lub ubiegających się o ich dopuszczenie</w:t>
            </w:r>
          </w:p>
          <w:p w14:paraId="509751C7" w14:textId="77777777" w:rsidR="00D95979" w:rsidRDefault="00D95979" w:rsidP="00D959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9.2.8. Sprawozdanie/oświadczenie na temat informacji niefinansowych</w:t>
            </w:r>
          </w:p>
          <w:p w14:paraId="58291562" w14:textId="77777777" w:rsidR="00D95979" w:rsidRDefault="00D95979" w:rsidP="00D959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9.2.9. Sprawozdanie z płatności na rzecz administracji publicznej</w:t>
            </w:r>
          </w:p>
          <w:p w14:paraId="3B26457E" w14:textId="77777777" w:rsidR="00D95979" w:rsidRDefault="00D95979" w:rsidP="00D959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9.2.10. Części składowe sprawozdania finansowego jednostki, w skład której wchodzą wewnętrzne jednostki sporządzające samodzielnie sprawozdania finansowe.</w:t>
            </w:r>
          </w:p>
          <w:p w14:paraId="4644B409" w14:textId="77777777" w:rsidR="00D95979" w:rsidRDefault="00D95979" w:rsidP="00D959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9.2.11. Wymagania prawa podatkowego odnoszące się do jednostkowych rocznych sprawozdań finansowych.</w:t>
            </w:r>
          </w:p>
          <w:p w14:paraId="54BB9F20" w14:textId="77777777" w:rsidR="00D95979" w:rsidRDefault="00D95979" w:rsidP="00D959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CD47102" w14:textId="77777777" w:rsidR="00D95979" w:rsidRDefault="00D95979" w:rsidP="00D9597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lastRenderedPageBreak/>
              <w:t>9.3. Roczne skonsolidowane sprawozdanie finansowe grupy kapitałowej</w:t>
            </w:r>
          </w:p>
          <w:p w14:paraId="3D002029" w14:textId="77777777" w:rsidR="00D95979" w:rsidRDefault="00D95979" w:rsidP="00D959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9.3.1. Podmioty zobowiązane do sporządzania rocznych skonsolidowanych sprawozdań finansowych.</w:t>
            </w:r>
          </w:p>
          <w:p w14:paraId="48DE94D8" w14:textId="77777777" w:rsidR="00D95979" w:rsidRDefault="00D95979" w:rsidP="00D959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9.3.2. Elementy rocznych skonsolidowanych sprawozdań finansowych.</w:t>
            </w:r>
          </w:p>
          <w:p w14:paraId="1E00F50B" w14:textId="77777777" w:rsidR="00D95979" w:rsidRDefault="00D95979" w:rsidP="00D959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9.3.3. Warunki zwolnienia od sporządzania sprawozdania skonsolidowanego.</w:t>
            </w:r>
          </w:p>
          <w:p w14:paraId="25C560EB" w14:textId="77777777" w:rsidR="00D95979" w:rsidRDefault="00D95979" w:rsidP="00D959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9.3.4. Metody konsolidacji.</w:t>
            </w:r>
          </w:p>
          <w:p w14:paraId="2023DA82" w14:textId="77777777" w:rsidR="00D95979" w:rsidRDefault="00D95979" w:rsidP="00D959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9.3.5. Metoda pełna</w:t>
            </w:r>
          </w:p>
          <w:p w14:paraId="1A827D7A" w14:textId="77777777" w:rsidR="00D95979" w:rsidRDefault="00D95979" w:rsidP="00D959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9.3.6. Metoda proporcjonalna</w:t>
            </w:r>
          </w:p>
          <w:p w14:paraId="1B147967" w14:textId="77777777" w:rsidR="00D95979" w:rsidRDefault="00D95979" w:rsidP="00D959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9.3.7. Metoda praw własności</w:t>
            </w:r>
          </w:p>
          <w:p w14:paraId="7B823437" w14:textId="77777777" w:rsidR="00D95979" w:rsidRDefault="00D95979" w:rsidP="00D959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9.3.8. Konsolidacja grup mieszanych.</w:t>
            </w:r>
          </w:p>
          <w:p w14:paraId="4D1A0CFA" w14:textId="77777777" w:rsidR="00D95979" w:rsidRDefault="00D95979" w:rsidP="00D959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9.3.9. Test na utratę wartości firmy. </w:t>
            </w:r>
          </w:p>
          <w:p w14:paraId="7B70BB58" w14:textId="77777777" w:rsidR="00D95979" w:rsidRDefault="00D95979" w:rsidP="00D959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9.3.10. Dokumentacja konsolidacyjna.</w:t>
            </w:r>
          </w:p>
          <w:p w14:paraId="2ED007B8" w14:textId="77777777" w:rsidR="00D95979" w:rsidRDefault="00D95979" w:rsidP="00D959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9.3.11. Specyficzne problemy konsolidacji, w tym waluta funkcjonalna i prezentacji; ustalanie różnic kursowych z tytułu konsolidacji; różne systemy sprawozdawcze.</w:t>
            </w:r>
          </w:p>
          <w:p w14:paraId="7DC4F548" w14:textId="77777777" w:rsidR="00D95979" w:rsidRDefault="00D95979" w:rsidP="00D9597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0802CA63" w14:textId="77777777" w:rsidR="00D95979" w:rsidRDefault="00D95979" w:rsidP="00D9597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9.4. Obowiązki informacyjne spółek, których akcje znajdują się w publicznym obrocie oraz innych emitentów papierów wartościowych</w:t>
            </w:r>
          </w:p>
          <w:p w14:paraId="6E1AFBEC" w14:textId="77777777" w:rsidR="00D95979" w:rsidRDefault="00D95979" w:rsidP="00D959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C3F8346" w14:textId="77777777" w:rsidR="00D95979" w:rsidRDefault="00D95979" w:rsidP="00D9597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9.5. Analiza finansowa</w:t>
            </w:r>
          </w:p>
          <w:p w14:paraId="4B9BD5B1" w14:textId="77777777" w:rsidR="00D95979" w:rsidRDefault="00D95979" w:rsidP="00D959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9.5.1. Pojęcie, przedmiot, metody i cele analizy finansowej.</w:t>
            </w:r>
          </w:p>
          <w:p w14:paraId="3461C928" w14:textId="77777777" w:rsidR="00D95979" w:rsidRDefault="00D95979" w:rsidP="00D959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9.5.2. Źródła informacji w analizie finansowej.</w:t>
            </w:r>
          </w:p>
          <w:p w14:paraId="266EE5EA" w14:textId="77777777" w:rsidR="00D95979" w:rsidRDefault="00D95979" w:rsidP="00D959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9.5.3. Przygotowanie sprawozdań finansowych do analizy.</w:t>
            </w:r>
          </w:p>
          <w:p w14:paraId="07770872" w14:textId="77777777" w:rsidR="00D95979" w:rsidRDefault="00D95979" w:rsidP="00D959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9.5.4. Analiza przychodów.</w:t>
            </w:r>
          </w:p>
          <w:p w14:paraId="7C8BA6FF" w14:textId="77777777" w:rsidR="00D95979" w:rsidRDefault="00D95979" w:rsidP="00D959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9.5.5. Analiza kosztów.</w:t>
            </w:r>
          </w:p>
          <w:p w14:paraId="14927D93" w14:textId="77777777" w:rsidR="00D95979" w:rsidRDefault="00D95979" w:rsidP="00D959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9.5.6. Analiza wyniku finansowego i rentowności.</w:t>
            </w:r>
          </w:p>
          <w:p w14:paraId="52E82A79" w14:textId="77777777" w:rsidR="00D95979" w:rsidRDefault="00D95979" w:rsidP="00D959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9.5.7. Analiza sytuacji majątkowej i finansowej oraz pokrycia finansowego majątku</w:t>
            </w:r>
          </w:p>
          <w:p w14:paraId="2FB23508" w14:textId="77777777" w:rsidR="00D95979" w:rsidRDefault="00D95979" w:rsidP="00D959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9.5.8. Analiza gospodarowania kapitałem obrotowym.</w:t>
            </w:r>
          </w:p>
          <w:p w14:paraId="62A93BE9" w14:textId="77777777" w:rsidR="00D95979" w:rsidRDefault="00D95979" w:rsidP="00D959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9.5.9. Analiza płynności i siły finansowej jednostki.</w:t>
            </w:r>
          </w:p>
          <w:p w14:paraId="116C48D7" w14:textId="77777777" w:rsidR="00D95979" w:rsidRDefault="00D95979" w:rsidP="00D959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9.5.10. Analiza progu rentowności, wspomagania operacyjnego i finansowego.</w:t>
            </w:r>
          </w:p>
          <w:p w14:paraId="023328DD" w14:textId="77777777" w:rsidR="00D95979" w:rsidRDefault="00D95979" w:rsidP="00D959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9.5.11. Analiza symptomów zagrożenia jednostki upadłością.</w:t>
            </w:r>
          </w:p>
          <w:p w14:paraId="7FB36812" w14:textId="77777777" w:rsidR="00D95979" w:rsidRDefault="00D95979" w:rsidP="00D959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9.5.12. Analiza tworzenia wartości w jednostce.</w:t>
            </w:r>
          </w:p>
          <w:p w14:paraId="20AC66D1" w14:textId="77777777" w:rsidR="00D95979" w:rsidRDefault="00D95979" w:rsidP="00D959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9.5.13. Analiza pozycji jednostki na rynku kapitałowym.</w:t>
            </w:r>
          </w:p>
          <w:p w14:paraId="10F1161A" w14:textId="77777777" w:rsidR="00D95979" w:rsidRDefault="00D95979" w:rsidP="00D959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9.5.14. Metodyka pomiaru rozwoju zrównoważonego przez integrację kwestii finansowych , społecznych i środowiskowych </w:t>
            </w:r>
          </w:p>
          <w:p w14:paraId="0BE9A370" w14:textId="77777777" w:rsidR="00D95979" w:rsidRDefault="00D95979" w:rsidP="00D959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9.5.15. Mierniki i wskaźniki rozwoju zrównoważonego (ekonomicznego, środowiskowego, społecznego) </w:t>
            </w:r>
          </w:p>
          <w:p w14:paraId="1D2FB7D0" w14:textId="77777777" w:rsidR="00D95979" w:rsidRDefault="00D95979" w:rsidP="00D959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9.5.16. Elementy przyczynowo-skutkowego systemu mierników i wskaźników rozwoju zrównoważonego przedsiębiorstwa (zasoby i uwarunkowania, procesy, zrównoważone rezultaty, reakcje interesariuszy, wyniki finansowe)</w:t>
            </w:r>
          </w:p>
          <w:p w14:paraId="4AAB5BE9" w14:textId="77777777" w:rsidR="00D95979" w:rsidRDefault="00D95979" w:rsidP="00D959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9.5.17. Zintegrowane narzędzia pomiaru rozwoju zrównoważonego: zrównoważony model Du Ponta, zrównoważona karta wyników, London Benchmarking Group Model (LBG Model) </w:t>
            </w:r>
          </w:p>
          <w:p w14:paraId="2AF1E013" w14:textId="77777777" w:rsidR="00D95979" w:rsidRDefault="00D95979" w:rsidP="00D9597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1C2DF7FF" w14:textId="77777777" w:rsidR="00D95979" w:rsidRDefault="00D95979" w:rsidP="00D9597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9.6 Raportowanie niefinansowe</w:t>
            </w:r>
          </w:p>
          <w:p w14:paraId="2A8FA2DE" w14:textId="77777777" w:rsidR="00D95979" w:rsidRDefault="00D95979" w:rsidP="00D95979">
            <w:pPr>
              <w:ind w:firstLine="31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9.6.1 Geneza i terminy związane z raportowaniem niefinansowym.</w:t>
            </w:r>
          </w:p>
          <w:p w14:paraId="6367DF16" w14:textId="77777777" w:rsidR="00D95979" w:rsidRDefault="00D95979" w:rsidP="00D95979">
            <w:pPr>
              <w:ind w:firstLine="31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9.6.2. Wytyczne GRI – główne założenia.</w:t>
            </w:r>
          </w:p>
          <w:p w14:paraId="22E630ED" w14:textId="77777777" w:rsidR="00D95979" w:rsidRDefault="00D95979" w:rsidP="00D9597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9.6.3. GRI a inne systemy raportowania niefinansowego.</w:t>
            </w:r>
          </w:p>
          <w:p w14:paraId="7634DA81" w14:textId="234013F9" w:rsidR="00D95979" w:rsidRPr="00BB476D" w:rsidRDefault="00D95979" w:rsidP="00D95979"/>
        </w:tc>
        <w:tc>
          <w:tcPr>
            <w:tcW w:w="3736" w:type="dxa"/>
          </w:tcPr>
          <w:p w14:paraId="64AF900E" w14:textId="77777777" w:rsidR="00D95979" w:rsidRPr="00BB476D" w:rsidRDefault="00D95979" w:rsidP="00D95979"/>
        </w:tc>
        <w:tc>
          <w:tcPr>
            <w:tcW w:w="3686" w:type="dxa"/>
          </w:tcPr>
          <w:p w14:paraId="3E365967" w14:textId="77777777" w:rsidR="00D95979" w:rsidRPr="00BB476D" w:rsidRDefault="00D95979" w:rsidP="00D95979"/>
        </w:tc>
        <w:tc>
          <w:tcPr>
            <w:tcW w:w="3685" w:type="dxa"/>
          </w:tcPr>
          <w:p w14:paraId="4610A8F9" w14:textId="77777777" w:rsidR="00D95979" w:rsidRPr="00BB476D" w:rsidRDefault="00D95979" w:rsidP="00D95979"/>
        </w:tc>
      </w:tr>
    </w:tbl>
    <w:p w14:paraId="144AAF10" w14:textId="77777777" w:rsidR="00E5717C" w:rsidRDefault="00E5717C" w:rsidP="00AE566E"/>
    <w:sectPr w:rsidR="00E5717C" w:rsidSect="00AE566E">
      <w:footerReference w:type="default" r:id="rId7"/>
      <w:footnotePr>
        <w:numRestart w:val="eachPage"/>
      </w:footnotePr>
      <w:pgSz w:w="16838" w:h="11906" w:orient="landscape"/>
      <w:pgMar w:top="851" w:right="568" w:bottom="1417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F1F54E3" w14:textId="77777777" w:rsidR="00A1439B" w:rsidRDefault="00A1439B" w:rsidP="00E23546">
      <w:pPr>
        <w:spacing w:after="0" w:line="240" w:lineRule="auto"/>
      </w:pPr>
      <w:r>
        <w:separator/>
      </w:r>
    </w:p>
  </w:endnote>
  <w:endnote w:type="continuationSeparator" w:id="0">
    <w:p w14:paraId="5B48CC2C" w14:textId="77777777" w:rsidR="00A1439B" w:rsidRDefault="00A1439B" w:rsidP="00E235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788400426"/>
      <w:docPartObj>
        <w:docPartGallery w:val="Page Numbers (Bottom of Page)"/>
        <w:docPartUnique/>
      </w:docPartObj>
    </w:sdtPr>
    <w:sdtEndPr/>
    <w:sdtContent>
      <w:p w14:paraId="0764A543" w14:textId="77777777" w:rsidR="00E23546" w:rsidRDefault="00E23546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02886">
          <w:rPr>
            <w:noProof/>
          </w:rPr>
          <w:t>1</w:t>
        </w:r>
        <w:r>
          <w:fldChar w:fldCharType="end"/>
        </w:r>
      </w:p>
    </w:sdtContent>
  </w:sdt>
  <w:p w14:paraId="3B24BBA1" w14:textId="77777777" w:rsidR="00E23546" w:rsidRDefault="00E23546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27FC2B3" w14:textId="77777777" w:rsidR="00A1439B" w:rsidRDefault="00A1439B" w:rsidP="00E23546">
      <w:pPr>
        <w:spacing w:after="0" w:line="240" w:lineRule="auto"/>
      </w:pPr>
      <w:r>
        <w:separator/>
      </w:r>
    </w:p>
  </w:footnote>
  <w:footnote w:type="continuationSeparator" w:id="0">
    <w:p w14:paraId="45B3E146" w14:textId="77777777" w:rsidR="00A1439B" w:rsidRDefault="00A1439B" w:rsidP="00E23546">
      <w:pPr>
        <w:spacing w:after="0" w:line="240" w:lineRule="auto"/>
      </w:pPr>
      <w:r>
        <w:continuationSeparator/>
      </w:r>
    </w:p>
  </w:footnote>
  <w:footnote w:id="1">
    <w:p w14:paraId="3CB4805B" w14:textId="77777777" w:rsidR="00E23546" w:rsidRDefault="00E23546" w:rsidP="00E23546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B43A9A">
        <w:rPr>
          <w:sz w:val="18"/>
          <w:szCs w:val="18"/>
        </w:rPr>
        <w:t>Wpisuje się treści wynikające z sylabusa/karty, które odpowiadają zakresowi wiedzy wymaganemu przez Komisję Egzaminacyjną.</w:t>
      </w:r>
    </w:p>
  </w:footnote>
  <w:footnote w:id="2">
    <w:p w14:paraId="73ACFA6C" w14:textId="77777777" w:rsidR="00E23546" w:rsidRDefault="00E23546" w:rsidP="00E23546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854369">
        <w:rPr>
          <w:sz w:val="18"/>
          <w:szCs w:val="18"/>
        </w:rPr>
        <w:t>W przypadku wskazania większej (niż 3)  liczby przedmiotów składających się na egzamin objęty postępowaniem kwalifikacyjnym należy dołączyć i wypełnić kolejne kolumny matrycy.</w:t>
      </w:r>
    </w:p>
    <w:p w14:paraId="4E0FF97E" w14:textId="77777777" w:rsidR="00E23546" w:rsidRDefault="00E23546" w:rsidP="00E23546">
      <w:pPr>
        <w:pStyle w:val="Tekstprzypisudolnego"/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B0C51CC"/>
    <w:multiLevelType w:val="hybridMultilevel"/>
    <w:tmpl w:val="804097C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7A2590"/>
    <w:multiLevelType w:val="hybridMultilevel"/>
    <w:tmpl w:val="7704383C"/>
    <w:lvl w:ilvl="0" w:tplc="966E6300">
      <w:start w:val="1"/>
      <w:numFmt w:val="decimal"/>
      <w:lvlText w:val="%1."/>
      <w:lvlJc w:val="left"/>
      <w:pPr>
        <w:ind w:left="3" w:hanging="360"/>
      </w:pPr>
    </w:lvl>
    <w:lvl w:ilvl="1" w:tplc="04150019">
      <w:start w:val="1"/>
      <w:numFmt w:val="lowerLetter"/>
      <w:lvlText w:val="%2."/>
      <w:lvlJc w:val="left"/>
      <w:pPr>
        <w:ind w:left="723" w:hanging="360"/>
      </w:pPr>
    </w:lvl>
    <w:lvl w:ilvl="2" w:tplc="0415001B">
      <w:start w:val="1"/>
      <w:numFmt w:val="lowerRoman"/>
      <w:lvlText w:val="%3."/>
      <w:lvlJc w:val="right"/>
      <w:pPr>
        <w:ind w:left="1443" w:hanging="180"/>
      </w:pPr>
    </w:lvl>
    <w:lvl w:ilvl="3" w:tplc="0415000F">
      <w:start w:val="1"/>
      <w:numFmt w:val="decimal"/>
      <w:lvlText w:val="%4."/>
      <w:lvlJc w:val="left"/>
      <w:pPr>
        <w:ind w:left="2163" w:hanging="360"/>
      </w:pPr>
    </w:lvl>
    <w:lvl w:ilvl="4" w:tplc="04150019">
      <w:start w:val="1"/>
      <w:numFmt w:val="lowerLetter"/>
      <w:lvlText w:val="%5."/>
      <w:lvlJc w:val="left"/>
      <w:pPr>
        <w:ind w:left="2883" w:hanging="360"/>
      </w:pPr>
    </w:lvl>
    <w:lvl w:ilvl="5" w:tplc="0415001B">
      <w:start w:val="1"/>
      <w:numFmt w:val="lowerRoman"/>
      <w:lvlText w:val="%6."/>
      <w:lvlJc w:val="right"/>
      <w:pPr>
        <w:ind w:left="3603" w:hanging="180"/>
      </w:pPr>
    </w:lvl>
    <w:lvl w:ilvl="6" w:tplc="0415000F">
      <w:start w:val="1"/>
      <w:numFmt w:val="decimal"/>
      <w:lvlText w:val="%7."/>
      <w:lvlJc w:val="left"/>
      <w:pPr>
        <w:ind w:left="4323" w:hanging="360"/>
      </w:pPr>
    </w:lvl>
    <w:lvl w:ilvl="7" w:tplc="04150019">
      <w:start w:val="1"/>
      <w:numFmt w:val="lowerLetter"/>
      <w:lvlText w:val="%8."/>
      <w:lvlJc w:val="left"/>
      <w:pPr>
        <w:ind w:left="5043" w:hanging="360"/>
      </w:pPr>
    </w:lvl>
    <w:lvl w:ilvl="8" w:tplc="0415001B">
      <w:start w:val="1"/>
      <w:numFmt w:val="lowerRoman"/>
      <w:lvlText w:val="%9."/>
      <w:lvlJc w:val="right"/>
      <w:pPr>
        <w:ind w:left="5763" w:hanging="180"/>
      </w:pPr>
    </w:lvl>
  </w:abstractNum>
  <w:abstractNum w:abstractNumId="2" w15:restartNumberingAfterBreak="0">
    <w:nsid w:val="35484212"/>
    <w:multiLevelType w:val="hybridMultilevel"/>
    <w:tmpl w:val="E2C8D556"/>
    <w:lvl w:ilvl="0" w:tplc="04150011">
      <w:start w:val="1"/>
      <w:numFmt w:val="decimal"/>
      <w:lvlText w:val="%1)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942" w:hanging="360"/>
      </w:pPr>
    </w:lvl>
    <w:lvl w:ilvl="2" w:tplc="0415001B" w:tentative="1">
      <w:start w:val="1"/>
      <w:numFmt w:val="lowerRoman"/>
      <w:lvlText w:val="%3."/>
      <w:lvlJc w:val="right"/>
      <w:pPr>
        <w:ind w:left="2662" w:hanging="180"/>
      </w:pPr>
    </w:lvl>
    <w:lvl w:ilvl="3" w:tplc="0415000F" w:tentative="1">
      <w:start w:val="1"/>
      <w:numFmt w:val="decimal"/>
      <w:lvlText w:val="%4."/>
      <w:lvlJc w:val="left"/>
      <w:pPr>
        <w:ind w:left="3382" w:hanging="360"/>
      </w:pPr>
    </w:lvl>
    <w:lvl w:ilvl="4" w:tplc="04150019" w:tentative="1">
      <w:start w:val="1"/>
      <w:numFmt w:val="lowerLetter"/>
      <w:lvlText w:val="%5."/>
      <w:lvlJc w:val="left"/>
      <w:pPr>
        <w:ind w:left="4102" w:hanging="360"/>
      </w:pPr>
    </w:lvl>
    <w:lvl w:ilvl="5" w:tplc="0415001B" w:tentative="1">
      <w:start w:val="1"/>
      <w:numFmt w:val="lowerRoman"/>
      <w:lvlText w:val="%6."/>
      <w:lvlJc w:val="right"/>
      <w:pPr>
        <w:ind w:left="4822" w:hanging="180"/>
      </w:pPr>
    </w:lvl>
    <w:lvl w:ilvl="6" w:tplc="0415000F" w:tentative="1">
      <w:start w:val="1"/>
      <w:numFmt w:val="decimal"/>
      <w:lvlText w:val="%7."/>
      <w:lvlJc w:val="left"/>
      <w:pPr>
        <w:ind w:left="5542" w:hanging="360"/>
      </w:pPr>
    </w:lvl>
    <w:lvl w:ilvl="7" w:tplc="04150019" w:tentative="1">
      <w:start w:val="1"/>
      <w:numFmt w:val="lowerLetter"/>
      <w:lvlText w:val="%8."/>
      <w:lvlJc w:val="left"/>
      <w:pPr>
        <w:ind w:left="6262" w:hanging="360"/>
      </w:pPr>
    </w:lvl>
    <w:lvl w:ilvl="8" w:tplc="0415001B" w:tentative="1">
      <w:start w:val="1"/>
      <w:numFmt w:val="lowerRoman"/>
      <w:lvlText w:val="%9."/>
      <w:lvlJc w:val="right"/>
      <w:pPr>
        <w:ind w:left="6982" w:hanging="180"/>
      </w:pPr>
    </w:lvl>
  </w:abstractNum>
  <w:abstractNum w:abstractNumId="3" w15:restartNumberingAfterBreak="0">
    <w:nsid w:val="35ED152D"/>
    <w:multiLevelType w:val="hybridMultilevel"/>
    <w:tmpl w:val="16CAAAB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BDF644C"/>
    <w:multiLevelType w:val="hybridMultilevel"/>
    <w:tmpl w:val="7862B988"/>
    <w:lvl w:ilvl="0" w:tplc="22F2FA14">
      <w:start w:val="1"/>
      <w:numFmt w:val="decimal"/>
      <w:lvlText w:val="%1)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942" w:hanging="360"/>
      </w:pPr>
    </w:lvl>
    <w:lvl w:ilvl="2" w:tplc="0415001B" w:tentative="1">
      <w:start w:val="1"/>
      <w:numFmt w:val="lowerRoman"/>
      <w:lvlText w:val="%3."/>
      <w:lvlJc w:val="right"/>
      <w:pPr>
        <w:ind w:left="2662" w:hanging="180"/>
      </w:pPr>
    </w:lvl>
    <w:lvl w:ilvl="3" w:tplc="0415000F" w:tentative="1">
      <w:start w:val="1"/>
      <w:numFmt w:val="decimal"/>
      <w:lvlText w:val="%4."/>
      <w:lvlJc w:val="left"/>
      <w:pPr>
        <w:ind w:left="3382" w:hanging="360"/>
      </w:pPr>
    </w:lvl>
    <w:lvl w:ilvl="4" w:tplc="04150019" w:tentative="1">
      <w:start w:val="1"/>
      <w:numFmt w:val="lowerLetter"/>
      <w:lvlText w:val="%5."/>
      <w:lvlJc w:val="left"/>
      <w:pPr>
        <w:ind w:left="4102" w:hanging="360"/>
      </w:pPr>
    </w:lvl>
    <w:lvl w:ilvl="5" w:tplc="0415001B" w:tentative="1">
      <w:start w:val="1"/>
      <w:numFmt w:val="lowerRoman"/>
      <w:lvlText w:val="%6."/>
      <w:lvlJc w:val="right"/>
      <w:pPr>
        <w:ind w:left="4822" w:hanging="180"/>
      </w:pPr>
    </w:lvl>
    <w:lvl w:ilvl="6" w:tplc="0415000F" w:tentative="1">
      <w:start w:val="1"/>
      <w:numFmt w:val="decimal"/>
      <w:lvlText w:val="%7."/>
      <w:lvlJc w:val="left"/>
      <w:pPr>
        <w:ind w:left="5542" w:hanging="360"/>
      </w:pPr>
    </w:lvl>
    <w:lvl w:ilvl="7" w:tplc="04150019" w:tentative="1">
      <w:start w:val="1"/>
      <w:numFmt w:val="lowerLetter"/>
      <w:lvlText w:val="%8."/>
      <w:lvlJc w:val="left"/>
      <w:pPr>
        <w:ind w:left="6262" w:hanging="360"/>
      </w:pPr>
    </w:lvl>
    <w:lvl w:ilvl="8" w:tplc="0415001B" w:tentative="1">
      <w:start w:val="1"/>
      <w:numFmt w:val="lowerRoman"/>
      <w:lvlText w:val="%9."/>
      <w:lvlJc w:val="right"/>
      <w:pPr>
        <w:ind w:left="6982" w:hanging="180"/>
      </w:pPr>
    </w:lvl>
  </w:abstractNum>
  <w:abstractNum w:abstractNumId="5" w15:restartNumberingAfterBreak="0">
    <w:nsid w:val="7DC30223"/>
    <w:multiLevelType w:val="hybridMultilevel"/>
    <w:tmpl w:val="621AE1C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3"/>
  </w:num>
  <w:num w:numId="3">
    <w:abstractNumId w:val="0"/>
  </w:num>
  <w:num w:numId="4">
    <w:abstractNumId w:val="4"/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</w:num>
  <w:num w:numId="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50"/>
  </w:hdrShapeDefaults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3546"/>
    <w:rsid w:val="002A76C7"/>
    <w:rsid w:val="00302886"/>
    <w:rsid w:val="00473D76"/>
    <w:rsid w:val="004D1EF7"/>
    <w:rsid w:val="00553C1D"/>
    <w:rsid w:val="005C151D"/>
    <w:rsid w:val="00723577"/>
    <w:rsid w:val="009A28E3"/>
    <w:rsid w:val="00A1439B"/>
    <w:rsid w:val="00AE566E"/>
    <w:rsid w:val="00CE3A89"/>
    <w:rsid w:val="00D95979"/>
    <w:rsid w:val="00DF15EC"/>
    <w:rsid w:val="00E23546"/>
    <w:rsid w:val="00E5717C"/>
    <w:rsid w:val="00F26BF6"/>
    <w:rsid w:val="00F373B3"/>
    <w:rsid w:val="00F716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D99F72F"/>
  <w15:chartTrackingRefBased/>
  <w15:docId w15:val="{26CA9ED8-1394-4E86-BCDD-FC6A537F4A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23546"/>
  </w:style>
  <w:style w:type="paragraph" w:styleId="Nagwek1">
    <w:name w:val="heading 1"/>
    <w:basedOn w:val="Normalny"/>
    <w:link w:val="Nagwek1Znak"/>
    <w:uiPriority w:val="1"/>
    <w:qFormat/>
    <w:rsid w:val="00E23546"/>
    <w:pPr>
      <w:widowControl w:val="0"/>
      <w:spacing w:after="0" w:line="240" w:lineRule="auto"/>
      <w:ind w:left="1433"/>
      <w:outlineLvl w:val="0"/>
    </w:pPr>
    <w:rPr>
      <w:rFonts w:ascii="Times New Roman" w:eastAsia="Times New Roman" w:hAnsi="Times New Roman"/>
      <w:b/>
      <w:bCs/>
      <w:sz w:val="26"/>
      <w:szCs w:val="26"/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1"/>
    <w:rsid w:val="00E23546"/>
    <w:rPr>
      <w:rFonts w:ascii="Times New Roman" w:eastAsia="Times New Roman" w:hAnsi="Times New Roman"/>
      <w:b/>
      <w:bCs/>
      <w:sz w:val="26"/>
      <w:szCs w:val="26"/>
      <w:lang w:val="en-US"/>
    </w:rPr>
  </w:style>
  <w:style w:type="table" w:customStyle="1" w:styleId="Tabela-Siatka1">
    <w:name w:val="Tabela - Siatka1"/>
    <w:basedOn w:val="Standardowy"/>
    <w:next w:val="Tabela-Siatka"/>
    <w:rsid w:val="00E235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-Siatka">
    <w:name w:val="Table Grid"/>
    <w:basedOn w:val="Standardowy"/>
    <w:uiPriority w:val="39"/>
    <w:rsid w:val="00E235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link w:val="AkapitzlistZnak"/>
    <w:uiPriority w:val="34"/>
    <w:qFormat/>
    <w:rsid w:val="00E23546"/>
    <w:pPr>
      <w:spacing w:line="276" w:lineRule="auto"/>
      <w:ind w:left="720"/>
      <w:contextualSpacing/>
    </w:pPr>
    <w:rPr>
      <w:rFonts w:eastAsiaTheme="minorEastAsia"/>
      <w:sz w:val="21"/>
      <w:szCs w:val="21"/>
    </w:rPr>
  </w:style>
  <w:style w:type="character" w:customStyle="1" w:styleId="AkapitzlistZnak">
    <w:name w:val="Akapit z listą Znak"/>
    <w:link w:val="Akapitzlist"/>
    <w:uiPriority w:val="34"/>
    <w:qFormat/>
    <w:locked/>
    <w:rsid w:val="00E23546"/>
    <w:rPr>
      <w:rFonts w:eastAsiaTheme="minorEastAsia"/>
      <w:sz w:val="21"/>
      <w:szCs w:val="21"/>
    </w:rPr>
  </w:style>
  <w:style w:type="paragraph" w:styleId="Tekstprzypisudolnego">
    <w:name w:val="footnote text"/>
    <w:basedOn w:val="Normalny"/>
    <w:link w:val="TekstprzypisudolnegoZnak"/>
    <w:uiPriority w:val="99"/>
    <w:rsid w:val="00E2354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E23546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unhideWhenUsed/>
    <w:rsid w:val="00E23546"/>
    <w:rPr>
      <w:vertAlign w:val="superscript"/>
    </w:rPr>
  </w:style>
  <w:style w:type="paragraph" w:styleId="Stopka">
    <w:name w:val="footer"/>
    <w:basedOn w:val="Normalny"/>
    <w:link w:val="StopkaZnak"/>
    <w:uiPriority w:val="99"/>
    <w:unhideWhenUsed/>
    <w:rsid w:val="00E235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23546"/>
  </w:style>
  <w:style w:type="table" w:customStyle="1" w:styleId="Tabela-Siatka118">
    <w:name w:val="Tabela - Siatka118"/>
    <w:basedOn w:val="Standardowy"/>
    <w:next w:val="Tabela-Siatka"/>
    <w:rsid w:val="00E235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19">
    <w:name w:val="Tabela - Siatka119"/>
    <w:basedOn w:val="Standardowy"/>
    <w:next w:val="Tabela-Siatka"/>
    <w:rsid w:val="00E235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0766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676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81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612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87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530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73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790</Words>
  <Characters>4740</Characters>
  <Application>Microsoft Office Word</Application>
  <DocSecurity>0</DocSecurity>
  <Lines>39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Sztuczka</dc:creator>
  <cp:keywords/>
  <dc:description/>
  <cp:lastModifiedBy>jlabecka</cp:lastModifiedBy>
  <cp:revision>3</cp:revision>
  <dcterms:created xsi:type="dcterms:W3CDTF">2022-10-21T12:30:00Z</dcterms:created>
  <dcterms:modified xsi:type="dcterms:W3CDTF">2022-10-21T13:16:00Z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FCATEGORY">
    <vt:lpwstr>InformacjePubliczneInformacjeSektoraPublicznego</vt:lpwstr>
  </property>
  <property fmtid="{D5CDD505-2E9C-101B-9397-08002B2CF9AE}" pid="3" name="MFClassifiedBy">
    <vt:lpwstr>MF\AWBN;Bernat Wojciech</vt:lpwstr>
  </property>
  <property fmtid="{D5CDD505-2E9C-101B-9397-08002B2CF9AE}" pid="4" name="MFClassificationDate">
    <vt:lpwstr>2022-10-03T18:29:45.9746074+02:00</vt:lpwstr>
  </property>
  <property fmtid="{D5CDD505-2E9C-101B-9397-08002B2CF9AE}" pid="5" name="MFClassifiedBySID">
    <vt:lpwstr>MF\S-1-5-21-1525952054-1005573771-2909822258-7812</vt:lpwstr>
  </property>
  <property fmtid="{D5CDD505-2E9C-101B-9397-08002B2CF9AE}" pid="6" name="MFGRNItemId">
    <vt:lpwstr>GRN-4fccd854-76af-44e5-946f-39aca46a766b</vt:lpwstr>
  </property>
  <property fmtid="{D5CDD505-2E9C-101B-9397-08002B2CF9AE}" pid="7" name="MFHash">
    <vt:lpwstr>PiZj/Y/FvfazBqMCjc8lgn9EYuyWSCSGvNDJWj+nRqA=</vt:lpwstr>
  </property>
  <property fmtid="{D5CDD505-2E9C-101B-9397-08002B2CF9AE}" pid="8" name="DLPManualFileClassification">
    <vt:lpwstr>{2755b7d9-e53d-4779-a40c-03797dcf43b3}</vt:lpwstr>
  </property>
  <property fmtid="{D5CDD505-2E9C-101B-9397-08002B2CF9AE}" pid="9" name="MFRefresh">
    <vt:lpwstr>False</vt:lpwstr>
  </property>
</Properties>
</file>